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7D9685B9"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1B7AA27A" w14:textId="77777777" w:rsidR="00EE49C5" w:rsidRPr="00EE49C5" w:rsidRDefault="007A0EA7" w:rsidP="00EE49C5">
      <w:pPr>
        <w:pStyle w:val="Default"/>
        <w:rPr>
          <w:rFonts w:ascii="Franklin Gothic Book" w:hAnsi="Franklin Gothic Book" w:cs="Franklin Gothic Book"/>
        </w:rPr>
      </w:pPr>
      <w:proofErr w:type="gramStart"/>
      <w:r w:rsidRPr="00CD4DAC">
        <w:rPr>
          <w:rFonts w:ascii="Franklin Gothic Book" w:hAnsi="Franklin Gothic Book"/>
          <w:sz w:val="20"/>
          <w:szCs w:val="20"/>
        </w:rPr>
        <w:t>az</w:t>
      </w:r>
      <w:proofErr w:type="gramEnd"/>
      <w:r w:rsidRPr="00CD4DAC">
        <w:rPr>
          <w:rFonts w:ascii="Franklin Gothic Book" w:hAnsi="Franklin Gothic Book"/>
          <w:sz w:val="20"/>
          <w:szCs w:val="20"/>
        </w:rPr>
        <w:t xml:space="preserve"> </w:t>
      </w:r>
    </w:p>
    <w:p w14:paraId="36037EA3" w14:textId="1DE2B88E" w:rsidR="007A0EA7" w:rsidRPr="00CD4DAC" w:rsidRDefault="00EE49C5" w:rsidP="00EE49C5">
      <w:pPr>
        <w:pStyle w:val="NormlWeb"/>
        <w:spacing w:line="276" w:lineRule="auto"/>
        <w:jc w:val="center"/>
        <w:rPr>
          <w:rFonts w:ascii="Franklin Gothic Book" w:hAnsi="Franklin Gothic Book"/>
          <w:sz w:val="20"/>
          <w:szCs w:val="20"/>
        </w:rPr>
      </w:pPr>
      <w:r w:rsidRPr="00EE49C5">
        <w:rPr>
          <w:rFonts w:ascii="Franklin Gothic Book" w:hAnsi="Franklin Gothic Book" w:cs="Franklin Gothic Book"/>
          <w:color w:val="000000"/>
          <w:sz w:val="24"/>
          <w:szCs w:val="24"/>
          <w:lang w:eastAsia="en-US"/>
        </w:rPr>
        <w:t xml:space="preserve"> </w:t>
      </w:r>
      <w:r w:rsidRPr="00EE49C5">
        <w:rPr>
          <w:rFonts w:ascii="Franklin Gothic Book" w:hAnsi="Franklin Gothic Book" w:cs="Franklin Gothic Book"/>
          <w:color w:val="000000"/>
          <w:sz w:val="20"/>
          <w:szCs w:val="20"/>
          <w:lang w:eastAsia="en-US"/>
        </w:rPr>
        <w:t xml:space="preserve">A </w:t>
      </w:r>
      <w:r>
        <w:t xml:space="preserve">Kecskeméti Szakképzési Centrum Fazekas István </w:t>
      </w:r>
      <w:r w:rsidRPr="00EE49C5">
        <w:t>Szakiskolája</w:t>
      </w:r>
      <w:r w:rsidR="00BB7A37" w:rsidRPr="00EE49C5">
        <w:rPr>
          <w:rFonts w:ascii="Franklin Gothic Book" w:hAnsi="Franklin Gothic Book"/>
          <w:sz w:val="20"/>
          <w:szCs w:val="20"/>
        </w:rPr>
        <w:t xml:space="preserve"> </w:t>
      </w:r>
      <w:r w:rsidR="00CD4DAC" w:rsidRPr="00EE49C5">
        <w:rPr>
          <w:rFonts w:ascii="Franklin Gothic Book" w:hAnsi="Franklin Gothic Book"/>
          <w:sz w:val="20"/>
          <w:szCs w:val="20"/>
        </w:rPr>
        <w:t>(</w:t>
      </w:r>
      <w:r w:rsidR="007D339D" w:rsidRPr="00EE49C5">
        <w:rPr>
          <w:rFonts w:ascii="Franklin Gothic Book" w:hAnsi="Franklin Gothic Book"/>
          <w:sz w:val="20"/>
          <w:szCs w:val="20"/>
        </w:rPr>
        <w:t>Intézmény</w:t>
      </w:r>
      <w:r w:rsidR="00CD4DAC" w:rsidRPr="00EE49C5">
        <w:rPr>
          <w:rFonts w:ascii="Franklin Gothic Book" w:hAnsi="Franklin Gothic Book"/>
          <w:sz w:val="20"/>
          <w:szCs w:val="20"/>
        </w:rPr>
        <w:t xml:space="preserve"> neve)</w:t>
      </w:r>
      <w:r w:rsidR="007A0EA7"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60ABBE61" w:rsidR="007A0EA7" w:rsidRPr="00EE49C5" w:rsidRDefault="00CD4DAC" w:rsidP="007A0E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Név:</w:t>
      </w:r>
      <w:r w:rsidR="00EE49C5">
        <w:rPr>
          <w:rFonts w:ascii="Franklin Gothic Book" w:hAnsi="Franklin Gothic Book"/>
          <w:sz w:val="20"/>
          <w:szCs w:val="20"/>
        </w:rPr>
        <w:t xml:space="preserve"> </w:t>
      </w:r>
      <w:r w:rsidR="005505A7">
        <w:rPr>
          <w:rFonts w:ascii="Franklin Gothic Book" w:hAnsi="Franklin Gothic Book"/>
          <w:sz w:val="20"/>
          <w:szCs w:val="20"/>
        </w:rPr>
        <w:t>Szabó Ivett</w:t>
      </w:r>
    </w:p>
    <w:p w14:paraId="3A5E6885" w14:textId="7D0C3A5F" w:rsidR="007A0EA7" w:rsidRPr="00EE49C5" w:rsidRDefault="007A0EA7" w:rsidP="007A0E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Székhely:</w:t>
      </w:r>
      <w:r w:rsidR="00EE49C5">
        <w:rPr>
          <w:rFonts w:ascii="Franklin Gothic Book" w:hAnsi="Franklin Gothic Book"/>
          <w:sz w:val="20"/>
          <w:szCs w:val="20"/>
        </w:rPr>
        <w:t xml:space="preserve"> Bács Kiskun Megye</w:t>
      </w:r>
    </w:p>
    <w:p w14:paraId="52DC8477" w14:textId="6A37375C" w:rsidR="007A0EA7" w:rsidRPr="00EE49C5" w:rsidRDefault="007A0EA7" w:rsidP="007A0E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 xml:space="preserve">Postacím: </w:t>
      </w:r>
      <w:r w:rsidR="00EE49C5" w:rsidRPr="00EE49C5">
        <w:rPr>
          <w:rFonts w:ascii="Franklin Gothic Book" w:hAnsi="Franklin Gothic Book"/>
          <w:sz w:val="20"/>
          <w:szCs w:val="20"/>
        </w:rPr>
        <w:t xml:space="preserve">6000 </w:t>
      </w:r>
      <w:proofErr w:type="spellStart"/>
      <w:r w:rsidR="00EE49C5" w:rsidRPr="00EE49C5">
        <w:rPr>
          <w:rFonts w:ascii="Franklin Gothic Book" w:hAnsi="Franklin Gothic Book"/>
          <w:sz w:val="20"/>
          <w:szCs w:val="20"/>
        </w:rPr>
        <w:t>Kecskemet</w:t>
      </w:r>
      <w:proofErr w:type="spellEnd"/>
      <w:r w:rsidR="00EE49C5" w:rsidRPr="00EE49C5">
        <w:rPr>
          <w:rFonts w:ascii="Franklin Gothic Book" w:hAnsi="Franklin Gothic Book"/>
          <w:sz w:val="20"/>
          <w:szCs w:val="20"/>
        </w:rPr>
        <w:t xml:space="preserve">, </w:t>
      </w:r>
      <w:proofErr w:type="spellStart"/>
      <w:r w:rsidR="00EE49C5" w:rsidRPr="00EE49C5">
        <w:rPr>
          <w:rFonts w:ascii="Franklin Gothic Book" w:hAnsi="Franklin Gothic Book"/>
          <w:sz w:val="20"/>
          <w:szCs w:val="20"/>
        </w:rPr>
        <w:t>Erzsebet</w:t>
      </w:r>
      <w:proofErr w:type="spellEnd"/>
      <w:r w:rsidR="00EE49C5" w:rsidRPr="00EE49C5">
        <w:rPr>
          <w:rFonts w:ascii="Franklin Gothic Book" w:hAnsi="Franklin Gothic Book"/>
          <w:sz w:val="20"/>
          <w:szCs w:val="20"/>
        </w:rPr>
        <w:t xml:space="preserve"> krt. 73</w:t>
      </w:r>
    </w:p>
    <w:p w14:paraId="70D2B460" w14:textId="1AEC2076" w:rsidR="007A0EA7" w:rsidRPr="00EE49C5" w:rsidRDefault="007A0EA7" w:rsidP="007A0E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 xml:space="preserve">Telefon: </w:t>
      </w:r>
      <w:r w:rsidR="00EE49C5" w:rsidRPr="00EE49C5">
        <w:rPr>
          <w:rFonts w:ascii="Franklin Gothic Book" w:hAnsi="Franklin Gothic Book"/>
          <w:sz w:val="20"/>
          <w:szCs w:val="20"/>
        </w:rPr>
        <w:t>06 -76 / 417- 908</w:t>
      </w:r>
    </w:p>
    <w:p w14:paraId="5E5EBD56" w14:textId="1F3F8D3A" w:rsidR="007A0EA7" w:rsidRPr="00EE49C5" w:rsidRDefault="007A0EA7" w:rsidP="007A0E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 xml:space="preserve">E-mail cím: </w:t>
      </w:r>
      <w:r w:rsidR="00EE49C5" w:rsidRPr="00EE49C5">
        <w:t>fazekas@kecskemetiszc.hu</w:t>
      </w:r>
      <w:bookmarkStart w:id="0" w:name="_GoBack"/>
      <w:bookmarkEnd w:id="0"/>
    </w:p>
    <w:p w14:paraId="23203625" w14:textId="77777777" w:rsidR="005505A7" w:rsidRPr="00EE49C5" w:rsidRDefault="007A0EA7" w:rsidP="005505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 xml:space="preserve">Az adatvédelmi tisztviselő elérhetősége: </w:t>
      </w:r>
      <w:r w:rsidR="005505A7">
        <w:rPr>
          <w:rFonts w:ascii="Franklin Gothic Book" w:hAnsi="Franklin Gothic Book"/>
          <w:sz w:val="20"/>
          <w:szCs w:val="20"/>
        </w:rPr>
        <w:t xml:space="preserve">Szabó Ivett, </w:t>
      </w:r>
      <w:r w:rsidR="005505A7" w:rsidRPr="00EE49C5">
        <w:t>fazekas@kecskemetiszc.hu</w:t>
      </w:r>
    </w:p>
    <w:p w14:paraId="73926CD2" w14:textId="30417C95" w:rsidR="007A0EA7" w:rsidRPr="00CD4DAC" w:rsidRDefault="005505A7" w:rsidP="005505A7">
      <w:pPr>
        <w:pStyle w:val="NormlWeb"/>
        <w:spacing w:line="276" w:lineRule="auto"/>
        <w:rPr>
          <w:rFonts w:ascii="Franklin Gothic Book" w:hAnsi="Franklin Gothic Book"/>
          <w:sz w:val="20"/>
          <w:szCs w:val="20"/>
        </w:rPr>
      </w:pPr>
      <w:r w:rsidRPr="00EE49C5">
        <w:rPr>
          <w:rFonts w:ascii="Franklin Gothic Book" w:hAnsi="Franklin Gothic Book"/>
          <w:sz w:val="20"/>
          <w:szCs w:val="20"/>
        </w:rPr>
        <w:t xml:space="preserve"> </w:t>
      </w:r>
      <w:proofErr w:type="gramStart"/>
      <w:r>
        <w:rPr>
          <w:rFonts w:ascii="Franklin Gothic Book" w:hAnsi="Franklin Gothic Book"/>
          <w:sz w:val="20"/>
          <w:szCs w:val="20"/>
        </w:rPr>
        <w:t>,</w:t>
      </w:r>
      <w:proofErr w:type="gramEnd"/>
      <w:r>
        <w:rPr>
          <w:rFonts w:ascii="Franklin Gothic Book" w:hAnsi="Franklin Gothic Book"/>
          <w:sz w:val="20"/>
          <w:szCs w:val="20"/>
        </w:rPr>
        <w:t xml:space="preserve"> </w:t>
      </w:r>
      <w:r w:rsidRPr="00EE49C5">
        <w:rPr>
          <w:rFonts w:ascii="Franklin Gothic Book" w:hAnsi="Franklin Gothic Book"/>
          <w:sz w:val="20"/>
          <w:szCs w:val="20"/>
        </w:rPr>
        <w:t>06 -76 / 417- 908</w:t>
      </w:r>
      <w:r w:rsidRPr="00EE49C5">
        <w:rPr>
          <w:rFonts w:ascii="Franklin Gothic Book" w:hAnsi="Franklin Gothic Book"/>
          <w:sz w:val="20"/>
          <w:szCs w:val="20"/>
        </w:rPr>
        <w:t xml:space="preserve"> </w:t>
      </w:r>
      <w:r w:rsidR="00CD4DAC" w:rsidRPr="00EE49C5">
        <w:rPr>
          <w:rFonts w:ascii="Franklin Gothic Book" w:hAnsi="Franklin Gothic Book"/>
          <w:sz w:val="20"/>
          <w:szCs w:val="20"/>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roofErr w:type="gramStart"/>
      <w:r w:rsidRPr="00CD4DAC">
        <w:rPr>
          <w:rFonts w:ascii="Franklin Gothic Book" w:eastAsiaTheme="minorHAnsi" w:hAnsi="Franklin Gothic Book" w:cs="Calibri"/>
          <w:b w:val="0"/>
          <w:bCs w:val="0"/>
          <w:kern w:val="0"/>
          <w:sz w:val="20"/>
          <w:szCs w:val="20"/>
        </w:rPr>
        <w:t>-  a</w:t>
      </w:r>
      <w:proofErr w:type="gramEnd"/>
      <w:r w:rsidRPr="00CD4DAC">
        <w:rPr>
          <w:rFonts w:ascii="Franklin Gothic Book" w:eastAsiaTheme="minorHAnsi" w:hAnsi="Franklin Gothic Book" w:cs="Calibri"/>
          <w:b w:val="0"/>
          <w:bCs w:val="0"/>
          <w:kern w:val="0"/>
          <w:sz w:val="20"/>
          <w:szCs w:val="20"/>
        </w:rPr>
        <w:t xml:space="preserve"> szakképzésről</w:t>
      </w:r>
      <w:hyperlink r:id="rId8"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456A8852" w:rsidR="00FE3639" w:rsidRPr="00CD4DAC" w:rsidRDefault="00CE1C9B"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E1C9B">
        <w:rPr>
          <w:rFonts w:ascii="Franklin Gothic Book" w:eastAsiaTheme="minorHAnsi" w:hAnsi="Franklin Gothic Book" w:cs="Calibri"/>
          <w:b w:val="0"/>
          <w:bCs w:val="0"/>
          <w:i/>
          <w:iCs/>
          <w:kern w:val="0"/>
          <w:sz w:val="20"/>
          <w:szCs w:val="20"/>
        </w:rPr>
        <w:t>GDPR 6. cikk (1) bekezdésének e) pontja</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4B5595E1" w14:textId="24BF40C3" w:rsidR="001C6972" w:rsidRPr="00CD4DAC" w:rsidRDefault="00CE1C9B" w:rsidP="007A0EA7">
      <w:pPr>
        <w:pStyle w:val="NormlWeb"/>
        <w:spacing w:line="276" w:lineRule="auto"/>
        <w:rPr>
          <w:rFonts w:ascii="Franklin Gothic Book" w:hAnsi="Franklin Gothic Book"/>
          <w:sz w:val="20"/>
          <w:szCs w:val="20"/>
        </w:rPr>
      </w:pPr>
      <w:r>
        <w:rPr>
          <w:rFonts w:ascii="Franklin Gothic Book" w:hAnsi="Franklin Gothic Book"/>
          <w:sz w:val="20"/>
          <w:szCs w:val="20"/>
        </w:rPr>
        <w:t>2021-</w:t>
      </w: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625DE5CA"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1E759158" w:rsidR="00257539" w:rsidRPr="005D5540" w:rsidRDefault="00F654AF" w:rsidP="00F654AF">
      <w:pPr>
        <w:pStyle w:val="NormlWeb"/>
        <w:jc w:val="both"/>
        <w:rPr>
          <w:rFonts w:ascii="Franklin Gothic Book" w:hAnsi="Franklin Gothic Book"/>
          <w:color w:val="FF0000"/>
          <w:sz w:val="20"/>
          <w:szCs w:val="20"/>
        </w:rPr>
      </w:pPr>
      <w:r w:rsidRPr="00CE1C9B">
        <w:rPr>
          <w:rFonts w:ascii="Franklin Gothic Book" w:hAnsi="Franklin Gothic Book"/>
          <w:sz w:val="20"/>
          <w:szCs w:val="20"/>
        </w:rPr>
        <w:t>Tájékoztatjuk, hogy az adatkezelések során nem</w:t>
      </w:r>
      <w:r w:rsidR="005D5540" w:rsidRPr="00CE1C9B">
        <w:rPr>
          <w:rFonts w:ascii="Franklin Gothic Book" w:hAnsi="Franklin Gothic Book"/>
          <w:sz w:val="20"/>
          <w:szCs w:val="20"/>
        </w:rPr>
        <w:t xml:space="preserve"> </w:t>
      </w:r>
      <w:r w:rsidRPr="00CE1C9B">
        <w:rPr>
          <w:rFonts w:ascii="Franklin Gothic Book" w:hAnsi="Franklin Gothic Book"/>
          <w:sz w:val="20"/>
          <w:szCs w:val="20"/>
        </w:rPr>
        <w:t xml:space="preserve">történik személyes adatai alapján automatizált döntéshozatal, profilalkotás. </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 xml:space="preserve">Személyes adatai védelmének érdekében a papír alapú </w:t>
      </w:r>
      <w:proofErr w:type="gramStart"/>
      <w:r w:rsidRPr="00CD4DAC">
        <w:rPr>
          <w:rFonts w:ascii="Franklin Gothic Book" w:hAnsi="Franklin Gothic Book"/>
          <w:sz w:val="20"/>
          <w:szCs w:val="20"/>
        </w:rPr>
        <w:t>dokumentumokat</w:t>
      </w:r>
      <w:proofErr w:type="gramEnd"/>
      <w:r w:rsidRPr="00CD4DAC">
        <w:rPr>
          <w:rFonts w:ascii="Franklin Gothic Book" w:hAnsi="Franklin Gothic Book"/>
          <w:sz w:val="20"/>
          <w:szCs w:val="20"/>
        </w:rPr>
        <w:t xml:space="preserve">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lastRenderedPageBreak/>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7EC1" w14:textId="77777777" w:rsidR="006D2375" w:rsidRDefault="006D2375" w:rsidP="00100A50">
      <w:pPr>
        <w:spacing w:after="0" w:line="240" w:lineRule="auto"/>
      </w:pPr>
      <w:r>
        <w:separator/>
      </w:r>
    </w:p>
  </w:endnote>
  <w:endnote w:type="continuationSeparator" w:id="0">
    <w:p w14:paraId="0A53C977" w14:textId="77777777" w:rsidR="006D2375" w:rsidRDefault="006D237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EDD9" w14:textId="77777777" w:rsidR="006D2375" w:rsidRDefault="006D2375" w:rsidP="00100A50">
      <w:pPr>
        <w:spacing w:after="0" w:line="240" w:lineRule="auto"/>
      </w:pPr>
      <w:r>
        <w:separator/>
      </w:r>
    </w:p>
  </w:footnote>
  <w:footnote w:type="continuationSeparator" w:id="0">
    <w:p w14:paraId="01C2F10D" w14:textId="77777777" w:rsidR="006D2375" w:rsidRDefault="006D2375"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2765"/>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2F3C25"/>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505A7"/>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CE1C9B"/>
    <w:rsid w:val="00D44B4E"/>
    <w:rsid w:val="00D7512B"/>
    <w:rsid w:val="00D975B4"/>
    <w:rsid w:val="00DE7F81"/>
    <w:rsid w:val="00E5546B"/>
    <w:rsid w:val="00E7505F"/>
    <w:rsid w:val="00EE49C5"/>
    <w:rsid w:val="00EF01B0"/>
    <w:rsid w:val="00EF4E37"/>
    <w:rsid w:val="00EF5EAF"/>
    <w:rsid w:val="00F12A46"/>
    <w:rsid w:val="00F30B25"/>
    <w:rsid w:val="00F5013D"/>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900080.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4260-5E13-45C9-9B9E-B35277A6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1592</Words>
  <Characters>10986</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Windows-felhasználó</cp:lastModifiedBy>
  <cp:revision>9</cp:revision>
  <cp:lastPrinted>2021-02-03T12:34:00Z</cp:lastPrinted>
  <dcterms:created xsi:type="dcterms:W3CDTF">2021-08-12T13:07:00Z</dcterms:created>
  <dcterms:modified xsi:type="dcterms:W3CDTF">2021-12-02T08:16:00Z</dcterms:modified>
</cp:coreProperties>
</file>